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/>
    <w:p w14:paraId="02000000">
      <w:pPr>
        <w:spacing w:after="0" w:line="240" w:lineRule="auto"/>
        <w:ind/>
        <w:jc w:val="right"/>
      </w:pPr>
      <w:r>
        <w:t>Утверждаю:</w:t>
      </w:r>
    </w:p>
    <w:p w14:paraId="03000000">
      <w:pPr>
        <w:spacing w:after="0" w:line="240" w:lineRule="auto"/>
        <w:ind/>
        <w:jc w:val="right"/>
      </w:pPr>
      <w:r>
        <w:t xml:space="preserve">Начальник отдела образования </w:t>
      </w:r>
    </w:p>
    <w:p w14:paraId="04000000">
      <w:pPr>
        <w:spacing w:after="0" w:line="240" w:lineRule="auto"/>
        <w:ind/>
        <w:jc w:val="right"/>
      </w:pPr>
      <w:r>
        <w:t>Исполнительного комитета</w:t>
      </w:r>
    </w:p>
    <w:p w14:paraId="05000000">
      <w:pPr>
        <w:spacing w:after="0" w:line="240" w:lineRule="auto"/>
        <w:ind/>
        <w:jc w:val="right"/>
      </w:pPr>
      <w:r>
        <w:t xml:space="preserve"> Спасского муниципального района </w:t>
      </w:r>
    </w:p>
    <w:p w14:paraId="06000000">
      <w:pPr>
        <w:spacing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t xml:space="preserve">                                                                                                                                                                  А.Н. Ермилин</w:t>
      </w:r>
    </w:p>
    <w:p w14:paraId="07000000">
      <w:pPr>
        <w:spacing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8000000">
      <w:pPr>
        <w:spacing w:line="240" w:lineRule="auto"/>
        <w:ind w:firstLine="0" w:left="-426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РЕЗОЛЮЦИЯ</w:t>
      </w:r>
    </w:p>
    <w:p w14:paraId="09000000">
      <w:pPr>
        <w:spacing w:after="0" w:line="240" w:lineRule="auto"/>
        <w:ind w:firstLine="0" w:left="-426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районного августовского совещ</w:t>
      </w:r>
      <w:r>
        <w:rPr>
          <w:rFonts w:ascii="Times New Roman" w:hAnsi="Times New Roman"/>
          <w:b w:val="1"/>
          <w:sz w:val="24"/>
        </w:rPr>
        <w:t>ания работников образования 2023</w:t>
      </w:r>
      <w:r>
        <w:rPr>
          <w:rFonts w:ascii="Times New Roman" w:hAnsi="Times New Roman"/>
          <w:b w:val="1"/>
          <w:sz w:val="24"/>
        </w:rPr>
        <w:t xml:space="preserve"> года</w:t>
      </w:r>
    </w:p>
    <w:p w14:paraId="0A000000">
      <w:pPr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«</w:t>
      </w:r>
      <w:r>
        <w:rPr>
          <w:rFonts w:ascii="Times New Roman" w:hAnsi="Times New Roman"/>
          <w:b w:val="1"/>
          <w:sz w:val="24"/>
        </w:rPr>
        <w:t>Образование в Спасском районе: ключевые задачи, нравственные ориентиры, качественные показатели»</w:t>
      </w:r>
      <w:r>
        <w:rPr>
          <w:rFonts w:ascii="Times New Roman" w:hAnsi="Times New Roman"/>
          <w:b w:val="1"/>
          <w:sz w:val="24"/>
        </w:rPr>
        <w:t>»</w:t>
      </w:r>
    </w:p>
    <w:p w14:paraId="0B000000">
      <w:pPr>
        <w:spacing w:after="0" w:line="240" w:lineRule="auto"/>
        <w:ind w:firstLine="0" w:left="-426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</w:t>
      </w:r>
    </w:p>
    <w:p w14:paraId="0C000000">
      <w:pPr>
        <w:spacing w:after="0" w:line="240" w:lineRule="auto"/>
        <w:ind w:firstLine="0" w:left="-426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(г. Болгар, 25 августа 2023</w:t>
      </w:r>
      <w:r>
        <w:rPr>
          <w:rFonts w:ascii="Times New Roman" w:hAnsi="Times New Roman"/>
          <w:b w:val="1"/>
          <w:sz w:val="24"/>
        </w:rPr>
        <w:t xml:space="preserve"> года)</w:t>
      </w:r>
    </w:p>
    <w:p w14:paraId="0D000000">
      <w:pPr>
        <w:spacing w:after="0" w:line="240" w:lineRule="auto"/>
        <w:ind w:firstLine="0" w:left="-426"/>
        <w:jc w:val="center"/>
        <w:rPr>
          <w:rFonts w:ascii="Times New Roman" w:hAnsi="Times New Roman"/>
          <w:b w:val="1"/>
          <w:sz w:val="24"/>
        </w:rPr>
      </w:pPr>
    </w:p>
    <w:p w14:paraId="0E000000">
      <w:pPr>
        <w:spacing w:after="0" w:line="240" w:lineRule="auto"/>
        <w:ind w:firstLine="0" w:left="-426"/>
        <w:rPr>
          <w:rFonts w:ascii="Times New Roman" w:hAnsi="Times New Roman"/>
          <w:b w:val="1"/>
          <w:sz w:val="24"/>
        </w:rPr>
      </w:pPr>
    </w:p>
    <w:p w14:paraId="0F000000">
      <w:pPr>
        <w:spacing w:after="0" w:line="240" w:lineRule="auto"/>
        <w:ind w:firstLine="0" w:left="-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sz w:val="24"/>
        </w:rPr>
        <w:t>Муниципальным учреждением «</w:t>
      </w:r>
      <w:r>
        <w:rPr>
          <w:rFonts w:ascii="Times New Roman" w:hAnsi="Times New Roman"/>
          <w:sz w:val="24"/>
        </w:rPr>
        <w:t>Отдел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образования</w:t>
      </w:r>
      <w:r>
        <w:rPr>
          <w:rFonts w:ascii="Times New Roman" w:hAnsi="Times New Roman"/>
          <w:sz w:val="24"/>
        </w:rPr>
        <w:t xml:space="preserve"> ИК Спасского муниципального</w:t>
      </w:r>
      <w:r>
        <w:rPr>
          <w:rFonts w:ascii="Times New Roman" w:hAnsi="Times New Roman"/>
          <w:sz w:val="24"/>
        </w:rPr>
        <w:t xml:space="preserve"> района Республики Татарстан» 25</w:t>
      </w:r>
      <w:r>
        <w:rPr>
          <w:rFonts w:ascii="Times New Roman" w:hAnsi="Times New Roman"/>
          <w:sz w:val="24"/>
        </w:rPr>
        <w:t xml:space="preserve"> августа </w:t>
      </w:r>
      <w:r>
        <w:rPr>
          <w:rFonts w:ascii="Times New Roman" w:hAnsi="Times New Roman"/>
          <w:sz w:val="24"/>
        </w:rPr>
        <w:t>2023</w:t>
      </w:r>
      <w:r>
        <w:rPr>
          <w:rFonts w:ascii="Times New Roman" w:hAnsi="Times New Roman"/>
          <w:sz w:val="24"/>
        </w:rPr>
        <w:t xml:space="preserve"> года</w:t>
      </w:r>
      <w:r>
        <w:rPr>
          <w:rFonts w:ascii="Times New Roman" w:hAnsi="Times New Roman"/>
          <w:sz w:val="24"/>
        </w:rPr>
        <w:t xml:space="preserve"> проведено районное августовское совещание работников </w:t>
      </w:r>
      <w:r>
        <w:rPr>
          <w:rFonts w:ascii="Times New Roman" w:hAnsi="Times New Roman"/>
          <w:sz w:val="24"/>
        </w:rPr>
        <w:t>образования по</w:t>
      </w:r>
      <w:r>
        <w:rPr>
          <w:rFonts w:ascii="Times New Roman" w:hAnsi="Times New Roman"/>
          <w:sz w:val="24"/>
        </w:rPr>
        <w:t xml:space="preserve"> теме: </w:t>
      </w:r>
      <w:r>
        <w:rPr>
          <w:rFonts w:ascii="Times New Roman" w:hAnsi="Times New Roman"/>
          <w:sz w:val="24"/>
        </w:rPr>
        <w:t xml:space="preserve">«Воспитание и обучение в эпоху </w:t>
      </w:r>
      <w:r>
        <w:rPr>
          <w:rFonts w:ascii="Times New Roman" w:hAnsi="Times New Roman"/>
          <w:sz w:val="24"/>
        </w:rPr>
        <w:t>цифровизации</w:t>
      </w:r>
      <w:r>
        <w:rPr>
          <w:rFonts w:ascii="Times New Roman" w:hAnsi="Times New Roman"/>
          <w:sz w:val="24"/>
        </w:rPr>
        <w:t>: сохраняя традиции, создаем будущее».</w:t>
      </w:r>
      <w:r>
        <w:rPr>
          <w:rFonts w:ascii="Times New Roman" w:hAnsi="Times New Roman"/>
          <w:sz w:val="24"/>
        </w:rPr>
        <w:t xml:space="preserve">     </w:t>
      </w:r>
    </w:p>
    <w:p w14:paraId="10000000">
      <w:pPr>
        <w:spacing w:after="0" w:line="240" w:lineRule="auto"/>
        <w:ind w:firstLine="0" w:left="-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рамках секционных заседаний рассмотрены актуальные </w:t>
      </w:r>
      <w:r>
        <w:rPr>
          <w:rFonts w:ascii="Times New Roman" w:hAnsi="Times New Roman"/>
          <w:sz w:val="24"/>
        </w:rPr>
        <w:t xml:space="preserve">вопросы повышения качества и доступности дошкольного и школьного образования, в том числе для детей с ограниченными возможностями здоровья; задачи формирования единого образовательного пространства и обеспечения конституционных прав школьников в контексте реализации проекта «Школа </w:t>
      </w:r>
      <w:r>
        <w:rPr>
          <w:rFonts w:ascii="Times New Roman" w:hAnsi="Times New Roman"/>
          <w:sz w:val="24"/>
        </w:rPr>
        <w:t>Минпросвещения</w:t>
      </w:r>
      <w:r>
        <w:rPr>
          <w:rFonts w:ascii="Times New Roman" w:hAnsi="Times New Roman"/>
          <w:sz w:val="24"/>
        </w:rPr>
        <w:t xml:space="preserve"> России», эффективности дополнительного образования детей и развития его инфраструктуры; задачи развития воспитательного потенциала школы, педагогического просвещения родителей с учетом особенностей идеологической воспитательной работы; вопросы создания образовательного пространства для сохранения и развития государственных и родных языков; реализации государственной политики в интересах детей, оставшихся без попечения родителей; </w:t>
      </w:r>
      <w:r>
        <w:rPr>
          <w:rFonts w:ascii="Times New Roman" w:hAnsi="Times New Roman"/>
          <w:sz w:val="24"/>
        </w:rPr>
        <w:t xml:space="preserve">цифровизации </w:t>
      </w:r>
      <w:r>
        <w:rPr>
          <w:rFonts w:ascii="Times New Roman" w:hAnsi="Times New Roman"/>
          <w:sz w:val="24"/>
        </w:rPr>
        <w:t>образовательного процесса; совершенствования профессионального образования и внедрения качественно новых механизмов подготовки и развития педагогических кадров</w:t>
      </w:r>
      <w:r>
        <w:rPr>
          <w:rFonts w:ascii="Times New Roman" w:hAnsi="Times New Roman"/>
          <w:sz w:val="24"/>
        </w:rPr>
        <w:t xml:space="preserve">   </w:t>
      </w:r>
    </w:p>
    <w:p w14:paraId="11000000">
      <w:pPr>
        <w:spacing w:after="0" w:line="240" w:lineRule="auto"/>
        <w:ind w:firstLine="0" w:left="-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         Заслушав и обсудив доклад начальника </w:t>
      </w:r>
      <w:r>
        <w:rPr>
          <w:rFonts w:ascii="Times New Roman" w:hAnsi="Times New Roman"/>
          <w:sz w:val="24"/>
        </w:rPr>
        <w:t>МУ «Отдел</w:t>
      </w:r>
      <w:r>
        <w:rPr>
          <w:rFonts w:ascii="Times New Roman" w:hAnsi="Times New Roman"/>
          <w:sz w:val="24"/>
        </w:rPr>
        <w:t xml:space="preserve"> образования</w:t>
      </w:r>
      <w:r>
        <w:rPr>
          <w:rFonts w:ascii="Times New Roman" w:hAnsi="Times New Roman"/>
          <w:sz w:val="24"/>
        </w:rPr>
        <w:t xml:space="preserve"> Исполнительного комитета Спасского муниципального района РТ»</w:t>
      </w:r>
      <w:r>
        <w:rPr>
          <w:rFonts w:ascii="Times New Roman" w:hAnsi="Times New Roman"/>
          <w:sz w:val="24"/>
        </w:rPr>
        <w:t>, выступления представителей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педагог</w:t>
      </w:r>
      <w:r>
        <w:rPr>
          <w:rFonts w:ascii="Times New Roman" w:hAnsi="Times New Roman"/>
          <w:sz w:val="24"/>
        </w:rPr>
        <w:t>ической общественности, муниципальных</w:t>
      </w:r>
      <w:r>
        <w:rPr>
          <w:rFonts w:ascii="Times New Roman" w:hAnsi="Times New Roman"/>
          <w:sz w:val="24"/>
        </w:rPr>
        <w:t xml:space="preserve"> организаций, участники совещания </w:t>
      </w:r>
      <w:r>
        <w:rPr>
          <w:rFonts w:ascii="Times New Roman" w:hAnsi="Times New Roman"/>
          <w:sz w:val="24"/>
        </w:rPr>
        <w:t>отмечают динамичное</w:t>
      </w:r>
      <w:r>
        <w:rPr>
          <w:rFonts w:ascii="Times New Roman" w:hAnsi="Times New Roman"/>
          <w:sz w:val="24"/>
        </w:rPr>
        <w:t xml:space="preserve"> и поступательное развитие муниципальной системы </w:t>
      </w:r>
      <w:r>
        <w:rPr>
          <w:rFonts w:ascii="Times New Roman" w:hAnsi="Times New Roman"/>
          <w:sz w:val="24"/>
        </w:rPr>
        <w:t>образования,</w:t>
      </w:r>
      <w:r>
        <w:rPr>
          <w:rFonts w:ascii="Times New Roman" w:hAnsi="Times New Roman"/>
          <w:sz w:val="24"/>
        </w:rPr>
        <w:t xml:space="preserve"> направленное на достижение высокого качества образования и </w:t>
      </w:r>
      <w:r>
        <w:rPr>
          <w:rFonts w:ascii="Times New Roman" w:hAnsi="Times New Roman"/>
          <w:sz w:val="24"/>
        </w:rPr>
        <w:t>воспитания,</w:t>
      </w:r>
      <w:r>
        <w:rPr>
          <w:rFonts w:ascii="Times New Roman" w:hAnsi="Times New Roman"/>
          <w:sz w:val="24"/>
        </w:rPr>
        <w:t xml:space="preserve"> профессиональное развитие педагогических и управленческих кадров и </w:t>
      </w:r>
      <w:r>
        <w:rPr>
          <w:rFonts w:ascii="Times New Roman" w:hAnsi="Times New Roman"/>
          <w:b w:val="1"/>
          <w:sz w:val="24"/>
        </w:rPr>
        <w:t>рекомендует</w:t>
      </w:r>
      <w:r>
        <w:rPr>
          <w:rFonts w:ascii="Times New Roman" w:hAnsi="Times New Roman"/>
          <w:b w:val="1"/>
          <w:sz w:val="24"/>
        </w:rPr>
        <w:t xml:space="preserve"> в 2023-2024</w:t>
      </w:r>
      <w:r>
        <w:rPr>
          <w:rFonts w:ascii="Times New Roman" w:hAnsi="Times New Roman"/>
          <w:b w:val="1"/>
          <w:sz w:val="24"/>
        </w:rPr>
        <w:t xml:space="preserve"> учебном году</w:t>
      </w:r>
      <w:r>
        <w:rPr>
          <w:rFonts w:ascii="Times New Roman" w:hAnsi="Times New Roman"/>
          <w:sz w:val="24"/>
        </w:rPr>
        <w:t xml:space="preserve">:  </w:t>
      </w:r>
    </w:p>
    <w:p w14:paraId="12000000">
      <w:pPr>
        <w:widowControl w:val="0"/>
        <w:spacing w:line="240" w:lineRule="auto"/>
        <w:ind w:firstLine="709" w:right="-1"/>
        <w:contextualSpacing w:val="1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В системе дошкольного образования:</w:t>
      </w:r>
    </w:p>
    <w:p w14:paraId="13000000">
      <w:pPr>
        <w:widowControl w:val="0"/>
        <w:spacing w:line="240" w:lineRule="auto"/>
        <w:ind w:firstLine="709" w:right="-1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принять меры по максимальному обеспечению всех нуждающихся детей местами в ДОО;</w:t>
      </w:r>
    </w:p>
    <w:p w14:paraId="14000000">
      <w:pPr>
        <w:widowControl w:val="0"/>
        <w:spacing w:line="240" w:lineRule="auto"/>
        <w:ind w:firstLine="709" w:right="-1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обеспечить реализацию мероприятий, направленных на повышение качества дошкольного образования, на основе анализа результатов МКДО в 2023 году; </w:t>
      </w:r>
    </w:p>
    <w:p w14:paraId="15000000">
      <w:pPr>
        <w:widowControl w:val="0"/>
        <w:spacing w:line="240" w:lineRule="auto"/>
        <w:ind w:firstLine="709" w:right="-1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осуществлять контроль за полнотой и актуальностью данных, вносимых в АИС </w:t>
      </w:r>
      <w:r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z w:val="24"/>
        </w:rPr>
        <w:t>Электронный детский сад</w:t>
      </w:r>
      <w:r>
        <w:rPr>
          <w:rFonts w:ascii="Times New Roman" w:hAnsi="Times New Roman"/>
          <w:sz w:val="24"/>
        </w:rPr>
        <w:t>»;</w:t>
      </w:r>
    </w:p>
    <w:p w14:paraId="16000000">
      <w:pPr>
        <w:widowControl w:val="0"/>
        <w:spacing w:line="240" w:lineRule="auto"/>
        <w:ind w:firstLine="709" w:right="-1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обеспечить выполнение мероприятий муниципальных «дорожных карт» по развитию национального образования, в том числе по повышению качества организации образовательного процесса в соответствии с языковым статусом дошкольных организаций;</w:t>
      </w:r>
    </w:p>
    <w:p w14:paraId="17000000">
      <w:pPr>
        <w:widowControl w:val="0"/>
        <w:spacing w:line="240" w:lineRule="auto"/>
        <w:ind w:firstLine="709" w:right="-1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принять меры по разработке и внедрению ФОП ДО в детских садах, соответствующ</w:t>
      </w:r>
      <w:bookmarkStart w:id="1" w:name="bookmark2"/>
      <w:r>
        <w:rPr>
          <w:rFonts w:ascii="Times New Roman" w:hAnsi="Times New Roman"/>
          <w:sz w:val="24"/>
        </w:rPr>
        <w:t>их федеральному государственному образовательному стандарту дошкольного образования, в том числе для детей с ограниченными возможностями здоровья</w:t>
      </w:r>
      <w:bookmarkEnd w:id="1"/>
      <w:r>
        <w:rPr>
          <w:rFonts w:ascii="Times New Roman" w:hAnsi="Times New Roman"/>
          <w:sz w:val="24"/>
        </w:rPr>
        <w:t>;</w:t>
      </w:r>
    </w:p>
    <w:p w14:paraId="18000000">
      <w:pPr>
        <w:pStyle w:val="Style_1"/>
        <w:ind w:firstLine="709" w:left="0"/>
        <w:jc w:val="both"/>
        <w:rPr>
          <w:b w:val="1"/>
        </w:rPr>
      </w:pPr>
      <w:r>
        <w:rPr>
          <w:b w:val="1"/>
        </w:rPr>
        <w:t>В системе общего образования:</w:t>
      </w:r>
    </w:p>
    <w:p w14:paraId="19000000">
      <w:pPr>
        <w:widowControl w:val="0"/>
        <w:tabs>
          <w:tab w:leader="none" w:pos="1107" w:val="left"/>
          <w:tab w:leader="none" w:pos="1134" w:val="left"/>
        </w:tabs>
        <w:spacing w:line="24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обеспечить методическое сопровождение реализации регионального проекта «Современная школа» национального проекта «Образование» и комплексное сопровождение школ, участвующих в проекте «Школа </w:t>
      </w:r>
      <w:r>
        <w:rPr>
          <w:rFonts w:ascii="Times New Roman" w:hAnsi="Times New Roman"/>
          <w:sz w:val="24"/>
        </w:rPr>
        <w:t>Минпросвещения</w:t>
      </w:r>
      <w:r>
        <w:rPr>
          <w:rFonts w:ascii="Times New Roman" w:hAnsi="Times New Roman"/>
          <w:sz w:val="24"/>
        </w:rPr>
        <w:t xml:space="preserve"> России»;</w:t>
      </w:r>
    </w:p>
    <w:p w14:paraId="1A000000">
      <w:pPr>
        <w:widowControl w:val="0"/>
        <w:tabs>
          <w:tab w:leader="none" w:pos="1107" w:val="left"/>
          <w:tab w:leader="none" w:pos="1134" w:val="left"/>
        </w:tabs>
        <w:spacing w:after="0" w:line="24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обеспечить использование инфраструктуры общеобразовательных организаций – центров цифрового и гуманитарного профилей, центров образования естественно-научной и технологической направленностей – «Точка роста» как общественного пространства для развития общекультурных компетенций, функциональной и цифровой грамотности, </w:t>
      </w:r>
      <w:bookmarkStart w:id="2" w:name="_GoBack"/>
      <w:r>
        <w:rPr>
          <w:rFonts w:ascii="Times New Roman" w:hAnsi="Times New Roman"/>
          <w:sz w:val="24"/>
        </w:rPr>
        <w:t>организации проектной деятельности школьников в ходе освоения обучающимися основных и дополнительных образовательных программ;</w:t>
      </w:r>
    </w:p>
    <w:p w14:paraId="1B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 xml:space="preserve">определить </w:t>
      </w:r>
      <w:bookmarkEnd w:id="2"/>
      <w:r>
        <w:t xml:space="preserve">систему мер по развитию системы </w:t>
      </w:r>
      <w:r>
        <w:t>профильного обучения Республики Татарстан до 2030 года в организациях, осуществляющих образовательную деятельность по основным общеобразовательным программам</w:t>
      </w:r>
      <w:r>
        <w:t xml:space="preserve"> на территории муниципального образования, включив в качестве основных соисполнителей профессиональные образовательные организации разработать и утвердить муниципальные планы мероприятий по реализации </w:t>
      </w:r>
      <w:r>
        <w:t>профориентационного</w:t>
      </w:r>
      <w:r>
        <w:t xml:space="preserve"> минимума с учетом принятых общеобразовательными организациями образовательных программ и углубленного изучения отдельных предметов, особенностей экономического развития территории, прогнозируемой потребности в кадрах, имеющихся профессиональных образовательных организаций;</w:t>
      </w:r>
    </w:p>
    <w:p w14:paraId="1C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 xml:space="preserve">способствовать развитию системы работы по выявлению и развитию одаренных детей, стимулированию и поощрению способных и талантливых детей и молодежи; </w:t>
      </w:r>
    </w:p>
    <w:p w14:paraId="1D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>создать условия для осознанного выбора дальнейшей траектории обучения выпускниками; усилить работу по мотивации обучающихся 9-11-х классов при выборе экзаменационных предметов с учетом профиля, направленности реализуемых программ;</w:t>
      </w:r>
    </w:p>
    <w:p w14:paraId="1E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>определить комплекс мер, направленных на методическое сопровождение перехода на обновленные федеральные государственные образовательные стандарты и реализацию федеральных основных и адаптированных общеобразовательных программ;</w:t>
      </w:r>
    </w:p>
    <w:p w14:paraId="1F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 xml:space="preserve">обеспечить проведение конкурсных мероприятий для детей и молодежи, каникулярных </w:t>
      </w:r>
      <w:r>
        <w:t>профориентационных</w:t>
      </w:r>
      <w:r>
        <w:t xml:space="preserve"> школ, профильных и специализированных смен (в соответствии с графиком проведения мероприятий);</w:t>
      </w:r>
    </w:p>
    <w:p w14:paraId="20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>создать условия для реализации концепции профильного обучения, заключения договоров о сетевой форме реализации программы между общеобразовательными организациями и образовательными организациями среднего профессионального образования;</w:t>
      </w:r>
    </w:p>
    <w:p w14:paraId="21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 xml:space="preserve">обеспечить организационно-методическое сопровождение общеобразовательных организаций в части реализации мер по формированию объективной системы оценки качества образования; обеспечению оптимизации графиков проверочных и диагностических работ в соответствии с рекомендациями </w:t>
      </w:r>
      <w:r>
        <w:t>Минпросвещения</w:t>
      </w:r>
      <w:r>
        <w:t xml:space="preserve"> России и </w:t>
      </w:r>
      <w:r>
        <w:t>Рособрнадзора</w:t>
      </w:r>
      <w:r>
        <w:t xml:space="preserve">; оказанию адресной методической поддержки школам с низкими результатами обучения и школам, функционирующим в условиях риска снижения образовательных результатов, профилактики учебной </w:t>
      </w:r>
      <w:r>
        <w:t>неуспешности</w:t>
      </w:r>
      <w:r>
        <w:t>;</w:t>
      </w:r>
      <w:bookmarkStart w:id="3" w:name="_Hlk110868231"/>
      <w:bookmarkEnd w:id="3"/>
    </w:p>
    <w:p w14:paraId="22000000">
      <w:pPr>
        <w:pStyle w:val="Style_1"/>
        <w:widowControl w:val="0"/>
        <w:tabs>
          <w:tab w:leader="none" w:pos="1107" w:val="left"/>
        </w:tabs>
        <w:ind w:firstLine="709" w:left="0"/>
        <w:jc w:val="both"/>
      </w:pPr>
      <w:r>
        <w:t>осуществлять постоянный контроль за обучающимися, находящимися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семейной</w:t>
      </w:r>
      <w:r>
        <w:rPr>
          <w:spacing w:val="-1"/>
        </w:rPr>
        <w:t xml:space="preserve"> </w:t>
      </w:r>
      <w:r>
        <w:t>форме обучения.</w:t>
      </w:r>
    </w:p>
    <w:p w14:paraId="23000000">
      <w:pPr>
        <w:pStyle w:val="Style_1"/>
        <w:ind w:right="-1"/>
        <w:jc w:val="both"/>
        <w:rPr>
          <w:b w:val="1"/>
        </w:rPr>
      </w:pPr>
    </w:p>
    <w:p w14:paraId="24000000">
      <w:pPr>
        <w:pStyle w:val="Style_1"/>
        <w:ind w:firstLine="709" w:left="0" w:right="-1"/>
        <w:jc w:val="both"/>
        <w:rPr>
          <w:b w:val="1"/>
        </w:rPr>
      </w:pPr>
      <w:r>
        <w:rPr>
          <w:b w:val="1"/>
        </w:rPr>
        <w:t>В рамках реализации национальных проектов, государственных и федеральных программ:</w:t>
      </w:r>
    </w:p>
    <w:p w14:paraId="25000000">
      <w:pPr>
        <w:pStyle w:val="Style_1"/>
        <w:tabs>
          <w:tab w:leader="none" w:pos="540" w:val="left"/>
          <w:tab w:leader="none" w:pos="993" w:val="left"/>
        </w:tabs>
        <w:ind w:firstLine="709" w:left="0"/>
        <w:jc w:val="both"/>
      </w:pPr>
      <w:r>
        <w:t>осуществлять контроль за реализацией мероприятий в рамках федеральных программ и проектов;</w:t>
      </w:r>
    </w:p>
    <w:p w14:paraId="26000000">
      <w:pPr>
        <w:pStyle w:val="Style_1"/>
        <w:tabs>
          <w:tab w:leader="none" w:pos="540" w:val="left"/>
          <w:tab w:leader="none" w:pos="993" w:val="left"/>
        </w:tabs>
        <w:ind w:firstLine="709" w:left="0"/>
        <w:jc w:val="both"/>
      </w:pPr>
      <w:r>
        <w:t>обеспечить освоение в полном объеме утвержденных федеральных, республиканских и внебюджетных средств, направляемых образовательным организациям-</w:t>
      </w:r>
      <w:r>
        <w:t>грантополучателям</w:t>
      </w:r>
      <w:r>
        <w:t xml:space="preserve"> на реализацию мероприятий федеральных программ и проектов;</w:t>
      </w:r>
    </w:p>
    <w:p w14:paraId="27000000">
      <w:pPr>
        <w:pStyle w:val="Style_1"/>
        <w:tabs>
          <w:tab w:leader="none" w:pos="540" w:val="left"/>
          <w:tab w:leader="none" w:pos="993" w:val="left"/>
        </w:tabs>
        <w:ind w:firstLine="709" w:left="0"/>
        <w:jc w:val="both"/>
        <w:rPr>
          <w:color w:val="000000"/>
        </w:rPr>
      </w:pPr>
      <w:r>
        <w:rPr>
          <w:color w:val="000000"/>
        </w:rPr>
        <w:t>осуществлять регулярный мониторинг фактического использования в образовательном процессе оборудования, средств обучения и воспитания, приобретенных в рамках региональных проектов, обеспечивающих достижение целей, показателей и результатов федерального проекта.</w:t>
      </w:r>
    </w:p>
    <w:p w14:paraId="28000000">
      <w:pPr>
        <w:pStyle w:val="Style_1"/>
        <w:ind w:right="-1"/>
        <w:jc w:val="both"/>
        <w:rPr>
          <w:b w:val="1"/>
        </w:rPr>
      </w:pPr>
    </w:p>
    <w:p w14:paraId="29000000">
      <w:pPr>
        <w:pStyle w:val="Style_1"/>
        <w:ind w:right="-1"/>
        <w:jc w:val="both"/>
        <w:rPr>
          <w:b w:val="1"/>
        </w:rPr>
      </w:pPr>
      <w:r>
        <w:rPr>
          <w:b w:val="1"/>
        </w:rPr>
        <w:t>В системе кадрового обеспечения образования:</w:t>
      </w:r>
    </w:p>
    <w:p w14:paraId="2A000000">
      <w:pPr>
        <w:tabs>
          <w:tab w:leader="none" w:pos="1134" w:val="left"/>
        </w:tabs>
        <w:spacing w:line="24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предоставлять актуальные прогнозные сведения о потребности в педагогических кадрах на долгосрочную и ближайшую перспективу с учетом демографической ситуации в муниципальном образовании (населенных пунктах), высвобождения кадров по естественным причинам (уход на пенсию и др.), открытия (реструктуризации) образовательных организаций;</w:t>
      </w:r>
    </w:p>
    <w:p w14:paraId="2B000000">
      <w:pPr>
        <w:tabs>
          <w:tab w:leader="none" w:pos="1134" w:val="left"/>
        </w:tabs>
        <w:spacing w:line="24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вести работу с организациями высшего и среднего профессионального образования с целью приглашения студентов в образовательные организации на открытые вакансии педагогов;</w:t>
      </w:r>
    </w:p>
    <w:p w14:paraId="2C000000">
      <w:pPr>
        <w:tabs>
          <w:tab w:leader="none" w:pos="1134" w:val="left"/>
        </w:tabs>
        <w:spacing w:line="240" w:lineRule="auto"/>
        <w:ind w:firstLine="709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разрабатывать комплекс мероприятий по обеспечению научно-методической поддержки процесса совершенствования ведущих профессиональных компетентностей работников образования в ходе аттестации;</w:t>
      </w:r>
    </w:p>
    <w:p w14:paraId="2D000000">
      <w:pPr>
        <w:numPr>
          <w:ilvl w:val="0"/>
          <w:numId w:val="1"/>
        </w:numPr>
        <w:tabs>
          <w:tab w:leader="none" w:pos="540" w:val="left"/>
          <w:tab w:leader="none" w:pos="1134" w:val="left"/>
        </w:tabs>
        <w:spacing w:after="0" w:line="240" w:lineRule="auto"/>
        <w:ind w:firstLine="709" w:left="0"/>
        <w:contextualSpacing w:val="1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чествовать лучшие педагогические династии, лучших работников образования Республики Татарстан, награжденных государственными и отраслевыми наградами, в рамках муниципальных </w:t>
      </w:r>
      <w:r>
        <w:rPr>
          <w:rFonts w:ascii="Times New Roman" w:hAnsi="Times New Roman"/>
          <w:sz w:val="24"/>
        </w:rPr>
        <w:t>мероприятий.</w:t>
      </w:r>
      <w:r>
        <w:rPr>
          <w:rFonts w:ascii="Times New Roman" w:hAnsi="Times New Roman"/>
          <w:sz w:val="24"/>
        </w:rPr>
        <w:t>.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"/>
      <w:lvlJc w:val="left"/>
      <w:pPr>
        <w:ind w:hanging="360" w:left="1429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149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869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589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309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029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749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469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189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200" w:line="276" w:lineRule="auto"/>
      <w:ind/>
    </w:pPr>
    <w:rPr>
      <w:rFonts w:ascii="Calibri" w:hAnsi="Calibri"/>
    </w:rPr>
  </w:style>
  <w:style w:default="1" w:styleId="Style_2_ch" w:type="character">
    <w:name w:val="Normal"/>
    <w:link w:val="Style_2"/>
    <w:rPr>
      <w:rFonts w:ascii="Calibri" w:hAnsi="Calibri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No Spacing"/>
    <w:link w:val="Style_9_ch"/>
    <w:pPr>
      <w:spacing w:after="0" w:line="240" w:lineRule="auto"/>
      <w:ind/>
    </w:pPr>
    <w:rPr>
      <w:rFonts w:ascii="Times New Roman" w:hAnsi="Times New Roman"/>
      <w:sz w:val="28"/>
    </w:rPr>
  </w:style>
  <w:style w:styleId="Style_9_ch" w:type="character">
    <w:name w:val="No Spacing"/>
    <w:link w:val="Style_9"/>
    <w:rPr>
      <w:rFonts w:ascii="Times New Roman" w:hAnsi="Times New Roman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basedOn w:val="Style_2"/>
    <w:next w:val="Style_2"/>
    <w:link w:val="Style_11_ch"/>
    <w:uiPriority w:val="9"/>
    <w:qFormat/>
    <w:pPr>
      <w:keepNext w:val="1"/>
      <w:spacing w:after="0" w:line="240" w:lineRule="auto"/>
      <w:ind/>
      <w:jc w:val="right"/>
      <w:outlineLvl w:val="0"/>
    </w:pPr>
    <w:rPr>
      <w:rFonts w:ascii="Times New Roman" w:hAnsi="Times New Roman"/>
      <w:b w:val="1"/>
      <w:sz w:val="28"/>
    </w:rPr>
  </w:style>
  <w:style w:styleId="Style_11_ch" w:type="character">
    <w:name w:val="heading 1"/>
    <w:basedOn w:val="Style_2_ch"/>
    <w:link w:val="Style_11"/>
    <w:rPr>
      <w:rFonts w:ascii="Times New Roman" w:hAnsi="Times New Roman"/>
      <w:b w:val="1"/>
      <w:sz w:val="28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2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2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Body Text"/>
    <w:basedOn w:val="Style_2"/>
    <w:link w:val="Style_19_ch"/>
    <w:pPr>
      <w:spacing w:after="120" w:line="240" w:lineRule="auto"/>
      <w:ind/>
    </w:pPr>
    <w:rPr>
      <w:rFonts w:ascii="Times New Roman" w:hAnsi="Times New Roman"/>
      <w:sz w:val="24"/>
    </w:rPr>
  </w:style>
  <w:style w:styleId="Style_19_ch" w:type="character">
    <w:name w:val="Body Text"/>
    <w:basedOn w:val="Style_2_ch"/>
    <w:link w:val="Style_19"/>
    <w:rPr>
      <w:rFonts w:ascii="Times New Roman" w:hAnsi="Times New Roman"/>
      <w:sz w:val="24"/>
    </w:rPr>
  </w:style>
  <w:style w:styleId="Style_1" w:type="paragraph">
    <w:name w:val="List Paragraph"/>
    <w:basedOn w:val="Style_2"/>
    <w:link w:val="Style_1_ch"/>
    <w:pPr>
      <w:spacing w:after="0" w:line="240" w:lineRule="auto"/>
      <w:ind w:firstLine="0" w:left="720"/>
      <w:contextualSpacing w:val="1"/>
    </w:pPr>
    <w:rPr>
      <w:rFonts w:ascii="Times New Roman" w:hAnsi="Times New Roman"/>
      <w:sz w:val="24"/>
    </w:rPr>
  </w:style>
  <w:style w:styleId="Style_1_ch" w:type="character">
    <w:name w:val="List Paragraph"/>
    <w:basedOn w:val="Style_2_ch"/>
    <w:link w:val="Style_1"/>
    <w:rPr>
      <w:rFonts w:ascii="Times New Roman" w:hAnsi="Times New Roman"/>
      <w:sz w:val="24"/>
    </w:rPr>
  </w:style>
  <w:style w:styleId="Style_20" w:type="paragraph">
    <w:name w:val="toc 5"/>
    <w:next w:val="Style_2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Balloon Text"/>
    <w:basedOn w:val="Style_2"/>
    <w:link w:val="Style_21_ch"/>
    <w:pPr>
      <w:spacing w:after="0" w:line="240" w:lineRule="auto"/>
      <w:ind/>
    </w:pPr>
    <w:rPr>
      <w:rFonts w:ascii="Segoe UI" w:hAnsi="Segoe UI"/>
      <w:sz w:val="18"/>
    </w:rPr>
  </w:style>
  <w:style w:styleId="Style_21_ch" w:type="character">
    <w:name w:val="Balloon Text"/>
    <w:basedOn w:val="Style_2_ch"/>
    <w:link w:val="Style_21"/>
    <w:rPr>
      <w:rFonts w:ascii="Segoe UI" w:hAnsi="Segoe UI"/>
      <w:sz w:val="18"/>
    </w:rPr>
  </w:style>
  <w:style w:styleId="Style_22" w:type="paragraph">
    <w:name w:val="Subtitle"/>
    <w:next w:val="Style_2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2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2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2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2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2023-08-21T07:05:06Z</dcterms:modified>
</cp:coreProperties>
</file>